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04E91FDD"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DE7BAE">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414F7">
        <w:rPr>
          <w:rFonts w:cs="Arial"/>
          <w:bCs/>
          <w:noProof w:val="0"/>
          <w:sz w:val="24"/>
          <w:szCs w:val="24"/>
        </w:rPr>
        <w:t>5</w:t>
      </w:r>
      <w:r w:rsidR="009C51E2">
        <w:rPr>
          <w:rFonts w:cs="Arial"/>
          <w:bCs/>
          <w:noProof w:val="0"/>
          <w:sz w:val="24"/>
          <w:szCs w:val="24"/>
        </w:rPr>
        <w:t>5195</w:t>
      </w:r>
    </w:p>
    <w:bookmarkEnd w:id="0"/>
    <w:p w14:paraId="5669B020" w14:textId="5427C2AB" w:rsidR="004C654E" w:rsidRPr="000665EA" w:rsidRDefault="00DE7BAE" w:rsidP="004C654E">
      <w:pPr>
        <w:pStyle w:val="Header"/>
        <w:tabs>
          <w:tab w:val="left" w:pos="2410"/>
        </w:tabs>
        <w:rPr>
          <w:rFonts w:eastAsia="MS Mincho" w:cs="Arial"/>
          <w:sz w:val="24"/>
          <w:szCs w:val="24"/>
        </w:rPr>
      </w:pPr>
      <w:r>
        <w:rPr>
          <w:rFonts w:eastAsia="MS Mincho" w:cs="Arial"/>
          <w:sz w:val="24"/>
          <w:szCs w:val="24"/>
        </w:rPr>
        <w:t>Bengaluru, India</w:t>
      </w:r>
      <w:r w:rsidR="00C42174">
        <w:rPr>
          <w:rFonts w:eastAsia="MS Mincho" w:cs="Arial"/>
          <w:sz w:val="24"/>
          <w:szCs w:val="24"/>
        </w:rPr>
        <w:t xml:space="preserve">, </w:t>
      </w:r>
      <w:r>
        <w:rPr>
          <w:rFonts w:eastAsia="MS Mincho" w:cs="Arial"/>
          <w:sz w:val="24"/>
          <w:szCs w:val="24"/>
        </w:rPr>
        <w:t>25</w:t>
      </w:r>
      <w:r w:rsidR="00C42174">
        <w:rPr>
          <w:rFonts w:eastAsia="MS Mincho" w:cs="Arial"/>
          <w:sz w:val="24"/>
          <w:szCs w:val="24"/>
        </w:rPr>
        <w:t>-2</w:t>
      </w:r>
      <w:r>
        <w:rPr>
          <w:rFonts w:eastAsia="MS Mincho" w:cs="Arial"/>
          <w:sz w:val="24"/>
          <w:szCs w:val="24"/>
        </w:rPr>
        <w:t>9</w:t>
      </w:r>
      <w:r w:rsidR="00C42174">
        <w:rPr>
          <w:rFonts w:eastAsia="MS Mincho" w:cs="Arial"/>
          <w:sz w:val="24"/>
          <w:szCs w:val="24"/>
        </w:rPr>
        <w:t xml:space="preserve"> </w:t>
      </w:r>
      <w:r>
        <w:rPr>
          <w:rFonts w:eastAsia="MS Mincho" w:cs="Arial"/>
          <w:sz w:val="24"/>
          <w:szCs w:val="24"/>
        </w:rPr>
        <w:t>Aug</w:t>
      </w:r>
      <w:r w:rsidR="00C42174">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3414F7">
        <w:rPr>
          <w:rFonts w:eastAsia="MS Mincho" w:cs="Arial"/>
          <w:sz w:val="24"/>
          <w:szCs w:val="24"/>
        </w:rPr>
        <w:t>5</w:t>
      </w:r>
    </w:p>
    <w:p w14:paraId="2F96B0BD" w14:textId="77777777" w:rsidR="002F2360" w:rsidRPr="000665EA" w:rsidRDefault="002F2360" w:rsidP="002F2360">
      <w:pPr>
        <w:pStyle w:val="Header"/>
        <w:tabs>
          <w:tab w:val="left" w:pos="2410"/>
        </w:tabs>
        <w:rPr>
          <w:bCs/>
          <w:noProof w:val="0"/>
          <w:sz w:val="24"/>
        </w:rPr>
      </w:pPr>
    </w:p>
    <w:p w14:paraId="430718D4" w14:textId="7A087752"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EB5D6D">
        <w:rPr>
          <w:rFonts w:cs="Arial"/>
          <w:b/>
          <w:bCs/>
          <w:sz w:val="24"/>
        </w:rPr>
        <w:t>10.3.2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E02936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B5D6D">
        <w:rPr>
          <w:rFonts w:ascii="Arial" w:hAnsi="Arial" w:cs="Arial"/>
          <w:b/>
          <w:bCs/>
          <w:sz w:val="24"/>
        </w:rPr>
        <w:t>Discussion on the possibility of requesting a non-registered slice</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938C42B" w:rsidR="005E3D0F" w:rsidRDefault="00EB5D6D" w:rsidP="008572DC">
      <w:bookmarkStart w:id="1" w:name="_Toc474247438"/>
      <w:r>
        <w:t xml:space="preserve">At the last RAN3 #128 meeting, a discussion took place concerning possible signalling to inform the gNB that one of the served UEs requested a slice that the UE is not registered for (the slice was not allowed at the registration). The objective was to enable the gNB to </w:t>
      </w:r>
      <w:r w:rsidR="00E708C1">
        <w:t xml:space="preserve">make the slice available in the cell where the UE </w:t>
      </w:r>
      <w:r w:rsidR="001D5E8E">
        <w:t>made the request</w:t>
      </w:r>
      <w:r>
        <w:t xml:space="preserve">, if the slice was </w:t>
      </w:r>
      <w:proofErr w:type="gramStart"/>
      <w:r>
        <w:t>actually meant</w:t>
      </w:r>
      <w:proofErr w:type="gramEnd"/>
      <w:r>
        <w:t xml:space="preserve"> to be offered for the UE. </w:t>
      </w:r>
    </w:p>
    <w:p w14:paraId="6E9B5711" w14:textId="0BB7B765" w:rsidR="00EB5D6D" w:rsidRPr="000665EA" w:rsidRDefault="00EB5D6D" w:rsidP="008572DC">
      <w:r>
        <w:t>However, RAN3 could not conclude if the scenario is valid: it was disputable if the UE is even allowed to request a service from a slice that is not allowed? Since RAN3 did not agree to send a question to SA2, we provide here conclusions from an internal verification.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79482D93" w14:textId="6E705E21" w:rsidR="001238EA" w:rsidRDefault="001238EA" w:rsidP="00C46F9B">
      <w:r>
        <w:t xml:space="preserve">Let us review therefore the way slicing works. In a classic deployment, a slice is configured in all cells of a TA. Thus, </w:t>
      </w:r>
      <w:r w:rsidR="003B4556">
        <w:t xml:space="preserve">when a UE registers in a TA, the AMF </w:t>
      </w:r>
      <w:r w:rsidR="00A80F76">
        <w:t>provides the</w:t>
      </w:r>
      <w:r w:rsidR="003B4556">
        <w:t xml:space="preserve"> list of Allowed NSSAI. According to TS 23.501, subclause 5.15.5.3, the UE may then request establishment of a PDU Session related only to NSSAI that was previously Allowed:</w:t>
      </w:r>
    </w:p>
    <w:p w14:paraId="6E4CF14C" w14:textId="19702774" w:rsidR="003B4556" w:rsidRPr="003B4556" w:rsidRDefault="003B4556" w:rsidP="003B4556">
      <w:pPr>
        <w:rPr>
          <w:i/>
          <w:iCs/>
        </w:rPr>
      </w:pPr>
      <w:r w:rsidRPr="003B4556">
        <w:rPr>
          <w:i/>
          <w:iCs/>
        </w:rPr>
        <w:t xml:space="preserve">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w:t>
      </w:r>
      <w:r w:rsidRPr="003B4556">
        <w:rPr>
          <w:i/>
          <w:iCs/>
          <w:highlight w:val="yellow"/>
        </w:rPr>
        <w:t>The UE includes the appropriate S-NSSAI from this Allowed NSSAI</w:t>
      </w:r>
      <w:r w:rsidRPr="003B4556">
        <w:rPr>
          <w:i/>
          <w:iCs/>
        </w:rPr>
        <w:t xml:space="preserve"> and, if mapping of the Allowed NSSAI to HPLMN S-NSSAIs was provided, an S-NSSAI with the corresponding value from this mapping.</w:t>
      </w:r>
    </w:p>
    <w:p w14:paraId="1EF1AC1E" w14:textId="18D1D817" w:rsidR="003B4556" w:rsidRPr="003B4556" w:rsidRDefault="003B4556" w:rsidP="003B4556">
      <w:pPr>
        <w:rPr>
          <w:i/>
          <w:iCs/>
        </w:rPr>
      </w:pPr>
      <w:r w:rsidRPr="003B4556">
        <w:rPr>
          <w:i/>
          <w:iCs/>
          <w:highlight w:val="yellow"/>
        </w:rPr>
        <w:t>If the UE cannot determine any S-NSSAI after performing the association of the application to a PDU Session according to clause 6.1.2.2.1 of TS 23.503 [45], the UE shall not indicate any S-NSSAI in the PDU Session Establishment procedure.</w:t>
      </w:r>
    </w:p>
    <w:p w14:paraId="434BC5F0" w14:textId="64071E76" w:rsidR="003B4556" w:rsidRPr="003B4556" w:rsidRDefault="003B4556" w:rsidP="00C46F9B">
      <w:pPr>
        <w:rPr>
          <w:b/>
          <w:bCs/>
        </w:rPr>
      </w:pPr>
      <w:r w:rsidRPr="003B4556">
        <w:rPr>
          <w:b/>
          <w:bCs/>
        </w:rPr>
        <w:t>Observation 1: In a classic, pre-Rel-1</w:t>
      </w:r>
      <w:r w:rsidR="002A009C">
        <w:rPr>
          <w:b/>
          <w:bCs/>
        </w:rPr>
        <w:t>8</w:t>
      </w:r>
      <w:r w:rsidRPr="003B4556">
        <w:rPr>
          <w:b/>
          <w:bCs/>
        </w:rPr>
        <w:t xml:space="preserve"> deployment, the UE is not allowed to request PDU session establishment for a slice that was not listed as “Allowed” during the TA registration.</w:t>
      </w:r>
    </w:p>
    <w:p w14:paraId="28353D62" w14:textId="5A361FB5" w:rsidR="00E42206" w:rsidRPr="00C46F9B" w:rsidRDefault="003B4556" w:rsidP="00E42206">
      <w:pPr>
        <w:overflowPunct w:val="0"/>
        <w:autoSpaceDE w:val="0"/>
        <w:autoSpaceDN w:val="0"/>
        <w:adjustRightInd w:val="0"/>
        <w:textAlignment w:val="baseline"/>
        <w:rPr>
          <w:rFonts w:eastAsia="Times New Roman"/>
          <w:i/>
          <w:iCs/>
          <w:lang w:eastAsia="ja-JP"/>
        </w:rPr>
      </w:pPr>
      <w:r>
        <w:t>In Rel.</w:t>
      </w:r>
      <w:r w:rsidR="002A009C">
        <w:t>18</w:t>
      </w:r>
      <w:r>
        <w:t>, a new way of supporting slices was introduced</w:t>
      </w:r>
      <w:r w:rsidR="00E42206">
        <w:t xml:space="preserve">: slice may </w:t>
      </w:r>
      <w:r w:rsidR="00A839C4">
        <w:t xml:space="preserve">not be available in all cells of </w:t>
      </w:r>
      <w:r w:rsidR="00E42206">
        <w:t xml:space="preserve">the TA. This means, in some cells of the TA, it has no </w:t>
      </w:r>
      <w:r w:rsidR="00FE28E9">
        <w:t xml:space="preserve">radio </w:t>
      </w:r>
      <w:r w:rsidR="00E42206">
        <w:t>resources available. Like it is presented in [1], the slice information is provided from the gNB</w:t>
      </w:r>
      <w:r w:rsidR="00A80F76">
        <w:t xml:space="preserve"> to the AMF</w:t>
      </w:r>
      <w:r w:rsidR="00E42206">
        <w:t xml:space="preserve">. According to the paper, the problem is </w:t>
      </w:r>
      <w:r w:rsidR="00E42206" w:rsidRPr="00C46F9B">
        <w:rPr>
          <w:i/>
          <w:iCs/>
        </w:rPr>
        <w:t xml:space="preserve">that </w:t>
      </w:r>
      <w:r w:rsidR="00E42206" w:rsidRPr="00C46F9B">
        <w:rPr>
          <w:rFonts w:eastAsia="Times New Roman"/>
          <w:i/>
          <w:iCs/>
          <w:lang w:eastAsia="ja-JP"/>
        </w:rPr>
        <w:t xml:space="preserve">an area where it is important to have better observability at gNB level, is in the overlap/relation between UE originated Service Request to establish sessions on certain slices and the existing slice coverage across the network. Moreover, additional information about the rejected slices at gNB can help the operators to deploy slices which have high demand in a certain geographical area. </w:t>
      </w:r>
    </w:p>
    <w:p w14:paraId="4B60C6F5" w14:textId="7302141D" w:rsidR="00E42206" w:rsidRDefault="00E42206" w:rsidP="00C46F9B">
      <w:r>
        <w:t>However, the paper seems to neglect the fact that the gNB is not the only source of information for the AMF. According to the TS 23.501, subclause 5.15.18, the AMF is also configured with the S-NSSAI Location Availability, which defines in which cells given S-NSSAI is supported:</w:t>
      </w:r>
    </w:p>
    <w:p w14:paraId="4322C4E5" w14:textId="373C99FC" w:rsidR="00E42206" w:rsidRPr="00E42206" w:rsidRDefault="00E42206" w:rsidP="00C46F9B">
      <w:pPr>
        <w:rPr>
          <w:i/>
          <w:iCs/>
        </w:rPr>
      </w:pPr>
      <w:proofErr w:type="gramStart"/>
      <w:r w:rsidRPr="00E42206">
        <w:rPr>
          <w:i/>
          <w:iCs/>
        </w:rPr>
        <w:t>In order to</w:t>
      </w:r>
      <w:proofErr w:type="gramEnd"/>
      <w:r w:rsidRPr="00E42206">
        <w:rPr>
          <w:i/>
          <w:iCs/>
        </w:rPr>
        <w:t xml:space="preserve"> optimize the end-to-end behaviour, </w:t>
      </w:r>
      <w:r w:rsidRPr="00E42206">
        <w:rPr>
          <w:i/>
          <w:iCs/>
          <w:highlight w:val="yellow"/>
        </w:rPr>
        <w:t>the AMF can, based on NS-</w:t>
      </w:r>
      <w:proofErr w:type="spellStart"/>
      <w:r w:rsidRPr="00E42206">
        <w:rPr>
          <w:i/>
          <w:iCs/>
          <w:highlight w:val="yellow"/>
        </w:rPr>
        <w:t>AoS</w:t>
      </w:r>
      <w:proofErr w:type="spellEnd"/>
      <w:r w:rsidRPr="00E42206">
        <w:rPr>
          <w:i/>
          <w:iCs/>
          <w:highlight w:val="yellow"/>
        </w:rPr>
        <w:t xml:space="preserve"> information received from OAM, configure supporting UEs with S-NSSAI location availability information</w:t>
      </w:r>
      <w:r w:rsidRPr="00E42206">
        <w:rPr>
          <w:i/>
          <w:iCs/>
        </w:rPr>
        <w:t xml:space="preserve"> and the network may need to monitor the S-NSSAI usage and enforce the NS-</w:t>
      </w:r>
      <w:proofErr w:type="spellStart"/>
      <w:r w:rsidRPr="00E42206">
        <w:rPr>
          <w:i/>
          <w:iCs/>
        </w:rPr>
        <w:t>AoS</w:t>
      </w:r>
      <w:proofErr w:type="spellEnd"/>
      <w:r w:rsidRPr="00E42206">
        <w:rPr>
          <w:i/>
          <w:iCs/>
        </w:rPr>
        <w:t xml:space="preserve"> e.g. if the UE does not support the S-NSSAI location availability information.</w:t>
      </w:r>
    </w:p>
    <w:p w14:paraId="562C3F56" w14:textId="7409FA28" w:rsidR="001238EA" w:rsidRPr="00B56E3C" w:rsidRDefault="00E42206" w:rsidP="00C46F9B">
      <w:pPr>
        <w:rPr>
          <w:b/>
          <w:bCs/>
        </w:rPr>
      </w:pPr>
      <w:r w:rsidRPr="00B56E3C">
        <w:rPr>
          <w:b/>
          <w:bCs/>
        </w:rPr>
        <w:lastRenderedPageBreak/>
        <w:t>Observation 2: In Rel-1</w:t>
      </w:r>
      <w:r w:rsidR="00FE28E9">
        <w:rPr>
          <w:b/>
          <w:bCs/>
        </w:rPr>
        <w:t>8</w:t>
      </w:r>
      <w:r w:rsidRPr="00B56E3C">
        <w:rPr>
          <w:b/>
          <w:bCs/>
        </w:rPr>
        <w:t xml:space="preserve"> deployments, where a slice is planned to be used in an area smaller than a TA, the AMF is configured using OAM with the S-NSSAI location availability information, which is then provided to the UE supporting the feature.</w:t>
      </w:r>
    </w:p>
    <w:p w14:paraId="2F453D56" w14:textId="1036AC2D" w:rsidR="00E42206" w:rsidRDefault="00E42206" w:rsidP="00C46F9B">
      <w:r>
        <w:t xml:space="preserve">If we then </w:t>
      </w:r>
      <w:proofErr w:type="gramStart"/>
      <w:r>
        <w:t>look into</w:t>
      </w:r>
      <w:proofErr w:type="gramEnd"/>
      <w:r>
        <w:t xml:space="preserve"> TS 23.502, </w:t>
      </w:r>
      <w:r w:rsidR="00B56E3C">
        <w:t xml:space="preserve">subclause 4.2.3, </w:t>
      </w:r>
      <w:proofErr w:type="gramStart"/>
      <w:r>
        <w:t xml:space="preserve">it is clear that </w:t>
      </w:r>
      <w:r w:rsidR="00B56E3C">
        <w:t>UE</w:t>
      </w:r>
      <w:proofErr w:type="gramEnd"/>
      <w:r w:rsidR="00B56E3C">
        <w:t xml:space="preserve"> must observe provided S-NSSAI location availability information:</w:t>
      </w:r>
    </w:p>
    <w:p w14:paraId="40A660EB" w14:textId="13337DBE" w:rsidR="00B56E3C" w:rsidRPr="00B56E3C" w:rsidRDefault="00B56E3C" w:rsidP="00C46F9B">
      <w:pPr>
        <w:rPr>
          <w:i/>
          <w:iCs/>
        </w:rPr>
      </w:pPr>
      <w:r w:rsidRPr="00B56E3C">
        <w:rPr>
          <w:i/>
          <w:iCs/>
        </w:rPr>
        <w:t>The UE shall not trigger a Service Request procedure for a PDU Session associated to an S-NSSAI if the S-NSSAI is not valid as per the S-NSSAI location availability information.</w:t>
      </w:r>
    </w:p>
    <w:p w14:paraId="045BFF9D" w14:textId="6B9A41D0" w:rsidR="00E42206" w:rsidRPr="00B56E3C" w:rsidRDefault="00B56E3C" w:rsidP="00C46F9B">
      <w:pPr>
        <w:rPr>
          <w:b/>
          <w:bCs/>
        </w:rPr>
      </w:pPr>
      <w:r w:rsidRPr="00B56E3C">
        <w:rPr>
          <w:b/>
          <w:bCs/>
        </w:rPr>
        <w:t>Observation 3: In Rel</w:t>
      </w:r>
      <w:r>
        <w:rPr>
          <w:b/>
          <w:bCs/>
        </w:rPr>
        <w:t>-</w:t>
      </w:r>
      <w:r w:rsidRPr="00B56E3C">
        <w:rPr>
          <w:b/>
          <w:bCs/>
        </w:rPr>
        <w:t>1</w:t>
      </w:r>
      <w:r w:rsidR="00FE28E9">
        <w:rPr>
          <w:b/>
          <w:bCs/>
        </w:rPr>
        <w:t>8</w:t>
      </w:r>
      <w:r w:rsidRPr="00B56E3C">
        <w:rPr>
          <w:b/>
          <w:bCs/>
        </w:rPr>
        <w:t xml:space="preserve"> deployments, there will not be a case that a supporting UE requests PDU session establishment in a cell where the needed slice is not available.</w:t>
      </w:r>
    </w:p>
    <w:p w14:paraId="6E534CAE" w14:textId="4D232BBC" w:rsidR="00B56E3C" w:rsidRDefault="00B56E3C" w:rsidP="00C46F9B">
      <w:r>
        <w:t>There may be a problem with pre-Rel.1</w:t>
      </w:r>
      <w:r w:rsidR="00FE28E9">
        <w:t>8</w:t>
      </w:r>
      <w:r>
        <w:t xml:space="preserve"> UEs, which do not follow the S-NSSAI location availability information. For these UEs, as it is indicated in the cited text from TS 23.501 above, the network must intervene. In practi</w:t>
      </w:r>
      <w:r w:rsidR="006C6D09">
        <w:t>c</w:t>
      </w:r>
      <w:r>
        <w:t xml:space="preserve">e, this means the AMF will indeed reject service request, if the UE is camping on a cell where the slice is not available. </w:t>
      </w:r>
    </w:p>
    <w:p w14:paraId="66336E5B" w14:textId="082406A8" w:rsidR="00C46F9B" w:rsidRPr="00C46F9B" w:rsidRDefault="00B56E3C" w:rsidP="00B56E3C">
      <w:pPr>
        <w:rPr>
          <w:i/>
          <w:iCs/>
        </w:rPr>
      </w:pPr>
      <w:r>
        <w:t>In [1], i</w:t>
      </w:r>
      <w:r w:rsidR="00C46F9B">
        <w:t xml:space="preserve">t is proposed there to enable a </w:t>
      </w:r>
      <w:proofErr w:type="gramStart"/>
      <w:r w:rsidR="00C46F9B" w:rsidRPr="00C46F9B">
        <w:rPr>
          <w:i/>
          <w:iCs/>
        </w:rPr>
        <w:t>mechanisms</w:t>
      </w:r>
      <w:proofErr w:type="gramEnd"/>
      <w:r w:rsidR="00C46F9B" w:rsidRPr="00C46F9B">
        <w:rPr>
          <w:i/>
          <w:iCs/>
        </w:rPr>
        <w:t xml:space="preserve"> to enable the gNB to request and obtain from the AMF information about the slices requested by the UE and rejected by the NAS because the slices were not supported in the area from which the UE initiated the request. </w:t>
      </w:r>
    </w:p>
    <w:p w14:paraId="57039105" w14:textId="5E1D84E1" w:rsidR="008559D6" w:rsidRDefault="00C46F9B" w:rsidP="00C46F9B">
      <w:pPr>
        <w:rPr>
          <w:i/>
          <w:iCs/>
        </w:rPr>
      </w:pPr>
      <w:r w:rsidRPr="00C46F9B">
        <w:rPr>
          <w:i/>
          <w:iCs/>
        </w:rPr>
        <w:t>Once collected, the gNB may then signal information obtained from the AMF, together with other information available at the gNB, e.g., cell-level information to the OAM for logging and as input to future slice re-planning procedures.</w:t>
      </w:r>
    </w:p>
    <w:p w14:paraId="7D701AF7" w14:textId="6BB4F6EA" w:rsidR="001238EA" w:rsidRPr="00287EB7" w:rsidRDefault="00B56E3C" w:rsidP="001238EA">
      <w:r>
        <w:t>One may ask why the AMF cannot log the information on its own? According to the discussion at RAN3 #128, this mechanism is suppose</w:t>
      </w:r>
      <w:r w:rsidR="00FE28E9">
        <w:t>d</w:t>
      </w:r>
      <w:r>
        <w:t xml:space="preserve"> to prevent the need to reconfigure the AMF. However, this is not possible: as presented above, the AMF must be configured via its OAM with the S-NSSAI location availability information</w:t>
      </w:r>
      <w:r w:rsidR="00350CA2">
        <w:t xml:space="preserve"> – according to the TS 23.501, the OAM must also update the S-NSSAI location availability information</w:t>
      </w:r>
      <w:r>
        <w:t xml:space="preserve">. </w:t>
      </w:r>
      <w:r w:rsidR="00350CA2">
        <w:t>Neither may</w:t>
      </w:r>
      <w:r>
        <w:t xml:space="preserve"> the gNB decide to make a slice available in one of its cells</w:t>
      </w:r>
      <w:r w:rsidR="00350CA2">
        <w:t xml:space="preserve"> – the fact that a UE requests a service does not automatically mean it shall be enabled. Therefore, the gNB may only let the OAM know about the request attempt.</w:t>
      </w:r>
    </w:p>
    <w:p w14:paraId="0515F19C" w14:textId="526DB115" w:rsidR="00287EB7" w:rsidRPr="00142240" w:rsidRDefault="00B56E3C" w:rsidP="00CE7304">
      <w:pPr>
        <w:rPr>
          <w:b/>
          <w:bCs/>
        </w:rPr>
      </w:pPr>
      <w:r w:rsidRPr="00142240">
        <w:rPr>
          <w:b/>
          <w:bCs/>
        </w:rPr>
        <w:t>Observation 4: For pre-Rel-1</w:t>
      </w:r>
      <w:r w:rsidR="00FE28E9">
        <w:rPr>
          <w:b/>
          <w:bCs/>
        </w:rPr>
        <w:t>8</w:t>
      </w:r>
      <w:r w:rsidRPr="00142240">
        <w:rPr>
          <w:b/>
          <w:bCs/>
        </w:rPr>
        <w:t xml:space="preserve"> UEs requesting a service that is locally available in a Rel-1</w:t>
      </w:r>
      <w:r w:rsidR="00FE28E9">
        <w:rPr>
          <w:b/>
          <w:bCs/>
        </w:rPr>
        <w:t>8</w:t>
      </w:r>
      <w:r w:rsidRPr="00142240">
        <w:rPr>
          <w:b/>
          <w:bCs/>
        </w:rPr>
        <w:t xml:space="preserve"> deployment</w:t>
      </w:r>
      <w:r w:rsidR="00350CA2">
        <w:rPr>
          <w:b/>
          <w:bCs/>
        </w:rPr>
        <w:t>, where the needed slice is available in selected cells only</w:t>
      </w:r>
      <w:r w:rsidRPr="00142240">
        <w:rPr>
          <w:b/>
          <w:bCs/>
        </w:rPr>
        <w:t xml:space="preserve">, the signalling-based solution proposed in [1] will </w:t>
      </w:r>
      <w:r w:rsidR="00350CA2">
        <w:rPr>
          <w:b/>
          <w:bCs/>
        </w:rPr>
        <w:t>not</w:t>
      </w:r>
      <w:r w:rsidR="00350CA2" w:rsidRPr="00142240">
        <w:rPr>
          <w:b/>
          <w:bCs/>
        </w:rPr>
        <w:t xml:space="preserve"> </w:t>
      </w:r>
      <w:r w:rsidR="00350CA2">
        <w:rPr>
          <w:b/>
          <w:bCs/>
        </w:rPr>
        <w:t>help avoiding</w:t>
      </w:r>
      <w:r w:rsidR="00350CA2" w:rsidRPr="00142240">
        <w:rPr>
          <w:b/>
          <w:bCs/>
        </w:rPr>
        <w:t xml:space="preserve"> </w:t>
      </w:r>
      <w:r w:rsidRPr="00142240">
        <w:rPr>
          <w:b/>
          <w:bCs/>
        </w:rPr>
        <w:t xml:space="preserve">reconfiguring </w:t>
      </w:r>
      <w:r w:rsidR="00350CA2">
        <w:rPr>
          <w:b/>
          <w:bCs/>
        </w:rPr>
        <w:t xml:space="preserve">both, </w:t>
      </w:r>
      <w:r w:rsidRPr="00142240">
        <w:rPr>
          <w:b/>
          <w:bCs/>
        </w:rPr>
        <w:t xml:space="preserve">the AMF </w:t>
      </w:r>
      <w:r w:rsidR="00350CA2">
        <w:rPr>
          <w:b/>
          <w:bCs/>
        </w:rPr>
        <w:t xml:space="preserve">and the gNB </w:t>
      </w:r>
      <w:r w:rsidRPr="00142240">
        <w:rPr>
          <w:b/>
          <w:bCs/>
        </w:rPr>
        <w:t xml:space="preserve">via </w:t>
      </w:r>
      <w:r w:rsidR="00350CA2">
        <w:rPr>
          <w:b/>
          <w:bCs/>
        </w:rPr>
        <w:t xml:space="preserve">the </w:t>
      </w:r>
      <w:r w:rsidRPr="00142240">
        <w:rPr>
          <w:b/>
          <w:bCs/>
        </w:rPr>
        <w:t>OAM. Thus, the proposed signalling does not offer any optimisation.</w:t>
      </w:r>
    </w:p>
    <w:p w14:paraId="1B050DE5" w14:textId="29C62E52" w:rsidR="00B56E3C" w:rsidRDefault="00E03CD6" w:rsidP="00CE7304">
      <w:r>
        <w:t>Based on the above analysis, we conclude:</w:t>
      </w:r>
    </w:p>
    <w:p w14:paraId="1A5F85D0" w14:textId="447C670E" w:rsidR="00E03CD6" w:rsidRDefault="00E03CD6" w:rsidP="00E03CD6">
      <w:pPr>
        <w:pStyle w:val="ListParagraph"/>
        <w:numPr>
          <w:ilvl w:val="0"/>
          <w:numId w:val="41"/>
        </w:numPr>
        <w:ind w:left="714" w:hanging="357"/>
        <w:contextualSpacing w:val="0"/>
      </w:pPr>
      <w:r>
        <w:t>The solution proposed in [1] addresses a subset of scenarios, a</w:t>
      </w:r>
      <w:r w:rsidR="0086498E">
        <w:t xml:space="preserve"> relevant</w:t>
      </w:r>
      <w:r>
        <w:t xml:space="preserve"> subset</w:t>
      </w:r>
      <w:r w:rsidR="0086498E">
        <w:t>, but</w:t>
      </w:r>
      <w:r>
        <w:t xml:space="preserve"> which will shrink over time, as more and more UEs will support Rel-1</w:t>
      </w:r>
      <w:r w:rsidR="00FE28E9">
        <w:t>8</w:t>
      </w:r>
      <w:r>
        <w:t xml:space="preserve"> slice </w:t>
      </w:r>
      <w:r w:rsidR="0086498E">
        <w:t>feature</w:t>
      </w:r>
      <w:r>
        <w:t>.</w:t>
      </w:r>
    </w:p>
    <w:p w14:paraId="4F0880C8" w14:textId="5B2DD61C" w:rsidR="00E03CD6" w:rsidRDefault="00E03CD6" w:rsidP="00E03CD6">
      <w:pPr>
        <w:pStyle w:val="ListParagraph"/>
        <w:numPr>
          <w:ilvl w:val="0"/>
          <w:numId w:val="41"/>
        </w:numPr>
        <w:ind w:left="714" w:hanging="357"/>
        <w:contextualSpacing w:val="0"/>
      </w:pPr>
      <w:r>
        <w:t xml:space="preserve">For the problems presented in [1] and acknowledged by numerous operators, the proposed </w:t>
      </w:r>
      <w:proofErr w:type="spellStart"/>
      <w:r>
        <w:t>signalling</w:t>
      </w:r>
      <w:proofErr w:type="spellEnd"/>
      <w:r>
        <w:t xml:space="preserve">-based solution does not </w:t>
      </w:r>
      <w:r w:rsidR="0086498E">
        <w:t xml:space="preserve">help </w:t>
      </w:r>
      <w:proofErr w:type="gramStart"/>
      <w:r w:rsidR="0086498E">
        <w:t>avoiding</w:t>
      </w:r>
      <w:proofErr w:type="gramEnd"/>
      <w:r w:rsidR="0086498E">
        <w:t xml:space="preserve"> </w:t>
      </w:r>
      <w:r>
        <w:t>configuring the AMF</w:t>
      </w:r>
      <w:r w:rsidR="0086498E">
        <w:t xml:space="preserve"> and the gNB</w:t>
      </w:r>
      <w:r>
        <w:t xml:space="preserve"> via OAMs. Thus, there is no reason to adopt the solution in RAN </w:t>
      </w:r>
      <w:proofErr w:type="spellStart"/>
      <w:r>
        <w:t>signalling</w:t>
      </w:r>
      <w:proofErr w:type="spellEnd"/>
      <w:r>
        <w:t>.</w:t>
      </w:r>
    </w:p>
    <w:p w14:paraId="60A62BF9" w14:textId="3F5E5D38" w:rsidR="00E03CD6" w:rsidRPr="00E03CD6" w:rsidRDefault="00E03CD6" w:rsidP="00CE7304">
      <w:pPr>
        <w:rPr>
          <w:b/>
          <w:bCs/>
        </w:rPr>
      </w:pPr>
      <w:r w:rsidRPr="00E03CD6">
        <w:rPr>
          <w:b/>
          <w:bCs/>
        </w:rPr>
        <w:t xml:space="preserve">Proposal: </w:t>
      </w:r>
      <w:r w:rsidR="00142240">
        <w:rPr>
          <w:b/>
          <w:bCs/>
        </w:rPr>
        <w:t>T</w:t>
      </w:r>
      <w:r w:rsidRPr="00E03CD6">
        <w:rPr>
          <w:b/>
          <w:bCs/>
        </w:rPr>
        <w:t xml:space="preserve">he </w:t>
      </w:r>
      <w:r w:rsidR="00142240">
        <w:rPr>
          <w:b/>
          <w:bCs/>
        </w:rPr>
        <w:t xml:space="preserve">discussed </w:t>
      </w:r>
      <w:r w:rsidRPr="00E03CD6">
        <w:rPr>
          <w:b/>
          <w:bCs/>
        </w:rPr>
        <w:t xml:space="preserve">problem </w:t>
      </w:r>
      <w:r w:rsidR="00142240">
        <w:rPr>
          <w:b/>
          <w:bCs/>
        </w:rPr>
        <w:t xml:space="preserve">of misalignment of slice coverage </w:t>
      </w:r>
      <w:r w:rsidRPr="00E03CD6">
        <w:rPr>
          <w:b/>
          <w:bCs/>
        </w:rPr>
        <w:t>shall be addressed in OAM-based solution. If needed, RAN3 may send an LS to SA2 to consult the correctness of the above analysis.</w:t>
      </w:r>
    </w:p>
    <w:p w14:paraId="28E42E52" w14:textId="77777777" w:rsidR="000F16C4" w:rsidRPr="000665EA" w:rsidRDefault="00CD2620" w:rsidP="00E00CEF">
      <w:pPr>
        <w:pStyle w:val="Heading1"/>
      </w:pPr>
      <w:r w:rsidRPr="000665EA">
        <w:t>3</w:t>
      </w:r>
      <w:r w:rsidR="000F16C4" w:rsidRPr="000665EA">
        <w:tab/>
      </w:r>
      <w:r w:rsidRPr="000665EA">
        <w:t>Conclusions</w:t>
      </w:r>
    </w:p>
    <w:p w14:paraId="21A337AF" w14:textId="456A8513" w:rsidR="002F4257" w:rsidRDefault="002F4257" w:rsidP="00036F3F">
      <w:pPr>
        <w:jc w:val="both"/>
        <w:rPr>
          <w:bCs/>
        </w:rPr>
      </w:pPr>
      <w:r>
        <w:rPr>
          <w:bCs/>
        </w:rPr>
        <w:t xml:space="preserve">In this paper, </w:t>
      </w:r>
      <w:r w:rsidR="00287EB7">
        <w:rPr>
          <w:bCs/>
        </w:rPr>
        <w:t xml:space="preserve">we reviewed the problem statement presented at RAN3 #128 meeting in [1] and, based on </w:t>
      </w:r>
      <w:r w:rsidR="00036F3F">
        <w:rPr>
          <w:bCs/>
        </w:rPr>
        <w:t>analysis on the SA2 standards, we concluded that it is wrong.</w:t>
      </w:r>
      <w:r w:rsidR="00142240">
        <w:rPr>
          <w:bCs/>
        </w:rPr>
        <w:t xml:space="preserve"> We observe what follows:</w:t>
      </w:r>
    </w:p>
    <w:p w14:paraId="2556F2E1" w14:textId="77777777" w:rsidR="00142240" w:rsidRPr="003B4556" w:rsidRDefault="00142240" w:rsidP="00142240">
      <w:pPr>
        <w:rPr>
          <w:b/>
          <w:bCs/>
        </w:rPr>
      </w:pPr>
      <w:r w:rsidRPr="003B4556">
        <w:rPr>
          <w:b/>
          <w:bCs/>
        </w:rPr>
        <w:t>Observation 1: In a classic, pre-Rel-1</w:t>
      </w:r>
      <w:r>
        <w:rPr>
          <w:b/>
          <w:bCs/>
        </w:rPr>
        <w:t>8</w:t>
      </w:r>
      <w:r w:rsidRPr="003B4556">
        <w:rPr>
          <w:b/>
          <w:bCs/>
        </w:rPr>
        <w:t xml:space="preserve"> deployment, the UE is not allowed to request PDU session establishment for a slice that was not listed as “Allowed” during the TA registration.</w:t>
      </w:r>
    </w:p>
    <w:p w14:paraId="13B0707E" w14:textId="77777777" w:rsidR="00142240" w:rsidRPr="00B56E3C" w:rsidRDefault="00142240" w:rsidP="00142240">
      <w:pPr>
        <w:rPr>
          <w:b/>
          <w:bCs/>
        </w:rPr>
      </w:pPr>
      <w:r w:rsidRPr="00B56E3C">
        <w:rPr>
          <w:b/>
          <w:bCs/>
        </w:rPr>
        <w:t>Observation 2: In Rel-1</w:t>
      </w:r>
      <w:r>
        <w:rPr>
          <w:b/>
          <w:bCs/>
        </w:rPr>
        <w:t>8</w:t>
      </w:r>
      <w:r w:rsidRPr="00B56E3C">
        <w:rPr>
          <w:b/>
          <w:bCs/>
        </w:rPr>
        <w:t xml:space="preserve"> deployments, where a slice is planned to be used in an area smaller than a TA, the AMF is configured using OAM with the S-NSSAI location availability information, which is then provided to the UE supporting the feature.</w:t>
      </w:r>
    </w:p>
    <w:p w14:paraId="72D84193" w14:textId="77777777" w:rsidR="00142240" w:rsidRPr="00B56E3C" w:rsidRDefault="00142240" w:rsidP="00142240">
      <w:pPr>
        <w:rPr>
          <w:b/>
          <w:bCs/>
        </w:rPr>
      </w:pPr>
      <w:r w:rsidRPr="00B56E3C">
        <w:rPr>
          <w:b/>
          <w:bCs/>
        </w:rPr>
        <w:t>Observation 3: In Rel</w:t>
      </w:r>
      <w:r>
        <w:rPr>
          <w:b/>
          <w:bCs/>
        </w:rPr>
        <w:t>-</w:t>
      </w:r>
      <w:r w:rsidRPr="00B56E3C">
        <w:rPr>
          <w:b/>
          <w:bCs/>
        </w:rPr>
        <w:t>1</w:t>
      </w:r>
      <w:r>
        <w:rPr>
          <w:b/>
          <w:bCs/>
        </w:rPr>
        <w:t>8</w:t>
      </w:r>
      <w:r w:rsidRPr="00B56E3C">
        <w:rPr>
          <w:b/>
          <w:bCs/>
        </w:rPr>
        <w:t xml:space="preserve"> deployments, there will not be a case that a supporting UE requests PDU session establishment in a cell where the needed slice is not available.</w:t>
      </w:r>
    </w:p>
    <w:p w14:paraId="6D58A042" w14:textId="77777777" w:rsidR="00142240" w:rsidRPr="00142240" w:rsidRDefault="00142240" w:rsidP="00142240">
      <w:pPr>
        <w:rPr>
          <w:b/>
          <w:bCs/>
        </w:rPr>
      </w:pPr>
      <w:r w:rsidRPr="00142240">
        <w:rPr>
          <w:b/>
          <w:bCs/>
        </w:rPr>
        <w:lastRenderedPageBreak/>
        <w:t>Observation 4: For pre-Rel-1</w:t>
      </w:r>
      <w:r>
        <w:rPr>
          <w:b/>
          <w:bCs/>
        </w:rPr>
        <w:t>8</w:t>
      </w:r>
      <w:r w:rsidRPr="00142240">
        <w:rPr>
          <w:b/>
          <w:bCs/>
        </w:rPr>
        <w:t xml:space="preserve"> UEs requesting a service that is locally available in a Rel-1</w:t>
      </w:r>
      <w:r>
        <w:rPr>
          <w:b/>
          <w:bCs/>
        </w:rPr>
        <w:t>8</w:t>
      </w:r>
      <w:r w:rsidRPr="00142240">
        <w:rPr>
          <w:b/>
          <w:bCs/>
        </w:rPr>
        <w:t xml:space="preserve"> deployment</w:t>
      </w:r>
      <w:r>
        <w:rPr>
          <w:b/>
          <w:bCs/>
        </w:rPr>
        <w:t>, where the needed slice is available in selected cells only</w:t>
      </w:r>
      <w:r w:rsidRPr="00142240">
        <w:rPr>
          <w:b/>
          <w:bCs/>
        </w:rPr>
        <w:t xml:space="preserve">, the signalling-based solution proposed in [1] will </w:t>
      </w:r>
      <w:r>
        <w:rPr>
          <w:b/>
          <w:bCs/>
        </w:rPr>
        <w:t>not</w:t>
      </w:r>
      <w:r w:rsidRPr="00142240">
        <w:rPr>
          <w:b/>
          <w:bCs/>
        </w:rPr>
        <w:t xml:space="preserve"> </w:t>
      </w:r>
      <w:r>
        <w:rPr>
          <w:b/>
          <w:bCs/>
        </w:rPr>
        <w:t>help avoiding</w:t>
      </w:r>
      <w:r w:rsidRPr="00142240">
        <w:rPr>
          <w:b/>
          <w:bCs/>
        </w:rPr>
        <w:t xml:space="preserve"> reconfiguring </w:t>
      </w:r>
      <w:r>
        <w:rPr>
          <w:b/>
          <w:bCs/>
        </w:rPr>
        <w:t xml:space="preserve">both, </w:t>
      </w:r>
      <w:r w:rsidRPr="00142240">
        <w:rPr>
          <w:b/>
          <w:bCs/>
        </w:rPr>
        <w:t xml:space="preserve">the AMF </w:t>
      </w:r>
      <w:r>
        <w:rPr>
          <w:b/>
          <w:bCs/>
        </w:rPr>
        <w:t xml:space="preserve">and the gNB </w:t>
      </w:r>
      <w:r w:rsidRPr="00142240">
        <w:rPr>
          <w:b/>
          <w:bCs/>
        </w:rPr>
        <w:t xml:space="preserve">via </w:t>
      </w:r>
      <w:r>
        <w:rPr>
          <w:b/>
          <w:bCs/>
        </w:rPr>
        <w:t xml:space="preserve">the </w:t>
      </w:r>
      <w:r w:rsidRPr="00142240">
        <w:rPr>
          <w:b/>
          <w:bCs/>
        </w:rPr>
        <w:t>OAM. Thus, the proposed signalling does not offer any optimisation.</w:t>
      </w:r>
    </w:p>
    <w:p w14:paraId="25FF4BF8" w14:textId="4CBD69CA" w:rsidR="00142240" w:rsidRPr="000665EA" w:rsidRDefault="00142240" w:rsidP="00036F3F">
      <w:pPr>
        <w:jc w:val="both"/>
        <w:rPr>
          <w:bCs/>
        </w:rPr>
      </w:pPr>
      <w:r>
        <w:rPr>
          <w:bCs/>
        </w:rPr>
        <w:t xml:space="preserve">Considering the above, we propose that </w:t>
      </w:r>
      <w:r>
        <w:rPr>
          <w:b/>
          <w:bCs/>
        </w:rPr>
        <w:t>t</w:t>
      </w:r>
      <w:r w:rsidRPr="00E03CD6">
        <w:rPr>
          <w:b/>
          <w:bCs/>
        </w:rPr>
        <w:t xml:space="preserve">he </w:t>
      </w:r>
      <w:r>
        <w:rPr>
          <w:b/>
          <w:bCs/>
        </w:rPr>
        <w:t xml:space="preserve">discussed </w:t>
      </w:r>
      <w:r w:rsidRPr="00E03CD6">
        <w:rPr>
          <w:b/>
          <w:bCs/>
        </w:rPr>
        <w:t xml:space="preserve">problem </w:t>
      </w:r>
      <w:r>
        <w:rPr>
          <w:b/>
          <w:bCs/>
        </w:rPr>
        <w:t xml:space="preserve">of misalignment of slice coverage </w:t>
      </w:r>
      <w:r w:rsidRPr="00E03CD6">
        <w:rPr>
          <w:b/>
          <w:bCs/>
        </w:rPr>
        <w:t>shall be addressed in OAM-based solution. If needed, RAN3 may send an LS to SA2 to consult the correctness of the above analysis.</w:t>
      </w:r>
    </w:p>
    <w:p w14:paraId="483F8717" w14:textId="77777777" w:rsidR="00403B9B" w:rsidRPr="000665EA" w:rsidRDefault="00403B9B" w:rsidP="00403B9B">
      <w:pPr>
        <w:pStyle w:val="Heading1"/>
      </w:pPr>
      <w:r w:rsidRPr="000665EA">
        <w:t>References</w:t>
      </w:r>
    </w:p>
    <w:p w14:paraId="65C3740D" w14:textId="38E052B8" w:rsidR="002F4257" w:rsidRPr="000665EA" w:rsidRDefault="00C46F9B" w:rsidP="008A3464">
      <w:pPr>
        <w:numPr>
          <w:ilvl w:val="0"/>
          <w:numId w:val="4"/>
        </w:numPr>
        <w:overflowPunct w:val="0"/>
        <w:autoSpaceDE w:val="0"/>
        <w:autoSpaceDN w:val="0"/>
        <w:adjustRightInd w:val="0"/>
        <w:textAlignment w:val="baseline"/>
      </w:pPr>
      <w:r>
        <w:t xml:space="preserve">R3-253191, RAN3 #128 </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F2895" w14:textId="77777777" w:rsidR="006E26E0" w:rsidRDefault="006E26E0">
      <w:r>
        <w:separator/>
      </w:r>
    </w:p>
  </w:endnote>
  <w:endnote w:type="continuationSeparator" w:id="0">
    <w:p w14:paraId="6B0F0EAB" w14:textId="77777777" w:rsidR="006E26E0" w:rsidRDefault="006E26E0">
      <w:r>
        <w:continuationSeparator/>
      </w:r>
    </w:p>
  </w:endnote>
  <w:endnote w:type="continuationNotice" w:id="1">
    <w:p w14:paraId="4DE4AFB2" w14:textId="77777777" w:rsidR="006E26E0" w:rsidRDefault="006E2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18F0D" w14:textId="77777777" w:rsidR="006E26E0" w:rsidRDefault="006E26E0">
      <w:r>
        <w:separator/>
      </w:r>
    </w:p>
  </w:footnote>
  <w:footnote w:type="continuationSeparator" w:id="0">
    <w:p w14:paraId="08AF1DE2" w14:textId="77777777" w:rsidR="006E26E0" w:rsidRDefault="006E26E0">
      <w:r>
        <w:continuationSeparator/>
      </w:r>
    </w:p>
  </w:footnote>
  <w:footnote w:type="continuationNotice" w:id="1">
    <w:p w14:paraId="210A567C" w14:textId="77777777" w:rsidR="006E26E0" w:rsidRDefault="006E2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6A141F"/>
    <w:multiLevelType w:val="hybridMultilevel"/>
    <w:tmpl w:val="5672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C34629"/>
    <w:multiLevelType w:val="hybridMultilevel"/>
    <w:tmpl w:val="9B78C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0"/>
  </w:num>
  <w:num w:numId="2" w16cid:durableId="1325889781">
    <w:abstractNumId w:val="30"/>
  </w:num>
  <w:num w:numId="3" w16cid:durableId="1574008939">
    <w:abstractNumId w:val="14"/>
  </w:num>
  <w:num w:numId="4" w16cid:durableId="1234775468">
    <w:abstractNumId w:val="9"/>
  </w:num>
  <w:num w:numId="5" w16cid:durableId="1444763253">
    <w:abstractNumId w:val="10"/>
  </w:num>
  <w:num w:numId="6" w16cid:durableId="1469472348">
    <w:abstractNumId w:val="39"/>
  </w:num>
  <w:num w:numId="7" w16cid:durableId="123275557">
    <w:abstractNumId w:val="25"/>
  </w:num>
  <w:num w:numId="8" w16cid:durableId="1128008256">
    <w:abstractNumId w:val="15"/>
  </w:num>
  <w:num w:numId="9" w16cid:durableId="1423840149">
    <w:abstractNumId w:val="38"/>
  </w:num>
  <w:num w:numId="10" w16cid:durableId="1824349208">
    <w:abstractNumId w:val="24"/>
  </w:num>
  <w:num w:numId="11" w16cid:durableId="1397623785">
    <w:abstractNumId w:val="13"/>
  </w:num>
  <w:num w:numId="12" w16cid:durableId="1929000652">
    <w:abstractNumId w:val="32"/>
  </w:num>
  <w:num w:numId="13" w16cid:durableId="899681234">
    <w:abstractNumId w:val="33"/>
  </w:num>
  <w:num w:numId="14" w16cid:durableId="1654260041">
    <w:abstractNumId w:val="31"/>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7"/>
  </w:num>
  <w:num w:numId="26" w16cid:durableId="265969315">
    <w:abstractNumId w:val="16"/>
  </w:num>
  <w:num w:numId="27" w16cid:durableId="2116705214">
    <w:abstractNumId w:val="21"/>
  </w:num>
  <w:num w:numId="28" w16cid:durableId="1051540479">
    <w:abstractNumId w:val="36"/>
  </w:num>
  <w:num w:numId="29" w16cid:durableId="838499363">
    <w:abstractNumId w:val="37"/>
  </w:num>
  <w:num w:numId="30" w16cid:durableId="550112542">
    <w:abstractNumId w:val="26"/>
  </w:num>
  <w:num w:numId="31" w16cid:durableId="1736466177">
    <w:abstractNumId w:val="23"/>
  </w:num>
  <w:num w:numId="32" w16cid:durableId="280385660">
    <w:abstractNumId w:val="17"/>
  </w:num>
  <w:num w:numId="33" w16cid:durableId="981617863">
    <w:abstractNumId w:val="28"/>
  </w:num>
  <w:num w:numId="34" w16cid:durableId="1913150918">
    <w:abstractNumId w:val="12"/>
  </w:num>
  <w:num w:numId="35" w16cid:durableId="2048289712">
    <w:abstractNumId w:val="11"/>
  </w:num>
  <w:num w:numId="36" w16cid:durableId="1171486525">
    <w:abstractNumId w:val="35"/>
  </w:num>
  <w:num w:numId="37" w16cid:durableId="1258097089">
    <w:abstractNumId w:val="22"/>
  </w:num>
  <w:num w:numId="38" w16cid:durableId="899294452">
    <w:abstractNumId w:val="29"/>
  </w:num>
  <w:num w:numId="39" w16cid:durableId="1632204940">
    <w:abstractNumId w:val="40"/>
  </w:num>
  <w:num w:numId="40" w16cid:durableId="1015688">
    <w:abstractNumId w:val="34"/>
  </w:num>
  <w:num w:numId="41" w16cid:durableId="1340887576">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36F3F"/>
    <w:rsid w:val="00040095"/>
    <w:rsid w:val="00042620"/>
    <w:rsid w:val="00043ED8"/>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A4C63"/>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38EA"/>
    <w:rsid w:val="00124E93"/>
    <w:rsid w:val="00126062"/>
    <w:rsid w:val="00127A6C"/>
    <w:rsid w:val="001308CC"/>
    <w:rsid w:val="001326A8"/>
    <w:rsid w:val="00132931"/>
    <w:rsid w:val="00132C93"/>
    <w:rsid w:val="001335E3"/>
    <w:rsid w:val="0013436B"/>
    <w:rsid w:val="00135755"/>
    <w:rsid w:val="0013680F"/>
    <w:rsid w:val="00140A8D"/>
    <w:rsid w:val="00140AF7"/>
    <w:rsid w:val="00141F05"/>
    <w:rsid w:val="00142240"/>
    <w:rsid w:val="00142564"/>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5E8E"/>
    <w:rsid w:val="001D6244"/>
    <w:rsid w:val="001D64FF"/>
    <w:rsid w:val="001D6AAA"/>
    <w:rsid w:val="001D6CB7"/>
    <w:rsid w:val="001E0B79"/>
    <w:rsid w:val="001E12EF"/>
    <w:rsid w:val="001E2336"/>
    <w:rsid w:val="001E36F2"/>
    <w:rsid w:val="001E407C"/>
    <w:rsid w:val="001E4950"/>
    <w:rsid w:val="001E7B62"/>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0395"/>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87EB7"/>
    <w:rsid w:val="00290FC8"/>
    <w:rsid w:val="0029437A"/>
    <w:rsid w:val="0029482D"/>
    <w:rsid w:val="002972BE"/>
    <w:rsid w:val="002977E1"/>
    <w:rsid w:val="002A009C"/>
    <w:rsid w:val="002A2A41"/>
    <w:rsid w:val="002A362A"/>
    <w:rsid w:val="002A3CBD"/>
    <w:rsid w:val="002A4D6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43E"/>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1A7"/>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F7"/>
    <w:rsid w:val="00341736"/>
    <w:rsid w:val="00341FC1"/>
    <w:rsid w:val="003424D0"/>
    <w:rsid w:val="00342E82"/>
    <w:rsid w:val="003454FC"/>
    <w:rsid w:val="00346189"/>
    <w:rsid w:val="00346E0E"/>
    <w:rsid w:val="003470D6"/>
    <w:rsid w:val="003474A6"/>
    <w:rsid w:val="00350CA2"/>
    <w:rsid w:val="0035110D"/>
    <w:rsid w:val="00351EFF"/>
    <w:rsid w:val="00353EE1"/>
    <w:rsid w:val="0035462D"/>
    <w:rsid w:val="00354716"/>
    <w:rsid w:val="00354A4F"/>
    <w:rsid w:val="003556A5"/>
    <w:rsid w:val="003565BE"/>
    <w:rsid w:val="00356EC2"/>
    <w:rsid w:val="00356FDD"/>
    <w:rsid w:val="00357582"/>
    <w:rsid w:val="00357F79"/>
    <w:rsid w:val="00360485"/>
    <w:rsid w:val="00363711"/>
    <w:rsid w:val="0036469A"/>
    <w:rsid w:val="0037010F"/>
    <w:rsid w:val="00371168"/>
    <w:rsid w:val="0037356D"/>
    <w:rsid w:val="0037419B"/>
    <w:rsid w:val="0037429E"/>
    <w:rsid w:val="00375EE8"/>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4556"/>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3B92"/>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5F98"/>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528"/>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A0"/>
    <w:rsid w:val="005020E7"/>
    <w:rsid w:val="00502ACC"/>
    <w:rsid w:val="00502B46"/>
    <w:rsid w:val="00503171"/>
    <w:rsid w:val="005104C3"/>
    <w:rsid w:val="0051206A"/>
    <w:rsid w:val="00512309"/>
    <w:rsid w:val="00512CFF"/>
    <w:rsid w:val="00514482"/>
    <w:rsid w:val="00520352"/>
    <w:rsid w:val="00520A53"/>
    <w:rsid w:val="00521747"/>
    <w:rsid w:val="00522C51"/>
    <w:rsid w:val="00526054"/>
    <w:rsid w:val="00526E01"/>
    <w:rsid w:val="00530762"/>
    <w:rsid w:val="00531215"/>
    <w:rsid w:val="005323EE"/>
    <w:rsid w:val="00534DA0"/>
    <w:rsid w:val="00537356"/>
    <w:rsid w:val="005411E7"/>
    <w:rsid w:val="005435A7"/>
    <w:rsid w:val="00543E6C"/>
    <w:rsid w:val="00544ECE"/>
    <w:rsid w:val="00545BBC"/>
    <w:rsid w:val="00552573"/>
    <w:rsid w:val="005536AB"/>
    <w:rsid w:val="00556793"/>
    <w:rsid w:val="00561FD8"/>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5979"/>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4"/>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6E6"/>
    <w:rsid w:val="006C698B"/>
    <w:rsid w:val="006C6AD9"/>
    <w:rsid w:val="006C6D09"/>
    <w:rsid w:val="006C7A66"/>
    <w:rsid w:val="006C7E8B"/>
    <w:rsid w:val="006D04FE"/>
    <w:rsid w:val="006D183B"/>
    <w:rsid w:val="006D1B5F"/>
    <w:rsid w:val="006D1E24"/>
    <w:rsid w:val="006D231C"/>
    <w:rsid w:val="006D333D"/>
    <w:rsid w:val="006D3A4B"/>
    <w:rsid w:val="006D6322"/>
    <w:rsid w:val="006D679C"/>
    <w:rsid w:val="006D7D23"/>
    <w:rsid w:val="006E26E0"/>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4353"/>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F4E"/>
    <w:rsid w:val="00755817"/>
    <w:rsid w:val="0075589F"/>
    <w:rsid w:val="0075609D"/>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977"/>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498E"/>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7A1"/>
    <w:rsid w:val="00922E52"/>
    <w:rsid w:val="00923DB8"/>
    <w:rsid w:val="009265A4"/>
    <w:rsid w:val="00927399"/>
    <w:rsid w:val="00932497"/>
    <w:rsid w:val="00933C98"/>
    <w:rsid w:val="0093545F"/>
    <w:rsid w:val="00935903"/>
    <w:rsid w:val="00937449"/>
    <w:rsid w:val="009408C4"/>
    <w:rsid w:val="009420E9"/>
    <w:rsid w:val="00942EC2"/>
    <w:rsid w:val="009439C1"/>
    <w:rsid w:val="00944D8F"/>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0F"/>
    <w:rsid w:val="009B28F7"/>
    <w:rsid w:val="009B684B"/>
    <w:rsid w:val="009B6C3A"/>
    <w:rsid w:val="009B7671"/>
    <w:rsid w:val="009C01DA"/>
    <w:rsid w:val="009C1EBF"/>
    <w:rsid w:val="009C2009"/>
    <w:rsid w:val="009C2AB8"/>
    <w:rsid w:val="009C4014"/>
    <w:rsid w:val="009C51E2"/>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47DB"/>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0F76"/>
    <w:rsid w:val="00A81258"/>
    <w:rsid w:val="00A82346"/>
    <w:rsid w:val="00A839C4"/>
    <w:rsid w:val="00A83F31"/>
    <w:rsid w:val="00A85310"/>
    <w:rsid w:val="00A85DCD"/>
    <w:rsid w:val="00A90B53"/>
    <w:rsid w:val="00A92977"/>
    <w:rsid w:val="00A95D85"/>
    <w:rsid w:val="00A95EC3"/>
    <w:rsid w:val="00A96374"/>
    <w:rsid w:val="00A9671C"/>
    <w:rsid w:val="00AA0C38"/>
    <w:rsid w:val="00AA0E5B"/>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E630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2199"/>
    <w:rsid w:val="00B4376D"/>
    <w:rsid w:val="00B446F3"/>
    <w:rsid w:val="00B4479D"/>
    <w:rsid w:val="00B46DFA"/>
    <w:rsid w:val="00B472AE"/>
    <w:rsid w:val="00B47B4C"/>
    <w:rsid w:val="00B53026"/>
    <w:rsid w:val="00B56E3C"/>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46F"/>
    <w:rsid w:val="00BA0F1F"/>
    <w:rsid w:val="00BA2519"/>
    <w:rsid w:val="00BA4DBE"/>
    <w:rsid w:val="00BA79DD"/>
    <w:rsid w:val="00BB05BD"/>
    <w:rsid w:val="00BB0DC5"/>
    <w:rsid w:val="00BB590B"/>
    <w:rsid w:val="00BB77F9"/>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6B5C"/>
    <w:rsid w:val="00C10D1A"/>
    <w:rsid w:val="00C10EDD"/>
    <w:rsid w:val="00C149EE"/>
    <w:rsid w:val="00C152E8"/>
    <w:rsid w:val="00C16011"/>
    <w:rsid w:val="00C1677D"/>
    <w:rsid w:val="00C17BCE"/>
    <w:rsid w:val="00C20CD9"/>
    <w:rsid w:val="00C22564"/>
    <w:rsid w:val="00C25F8E"/>
    <w:rsid w:val="00C2769B"/>
    <w:rsid w:val="00C30186"/>
    <w:rsid w:val="00C3238A"/>
    <w:rsid w:val="00C32F24"/>
    <w:rsid w:val="00C33079"/>
    <w:rsid w:val="00C3403B"/>
    <w:rsid w:val="00C3492F"/>
    <w:rsid w:val="00C34CF6"/>
    <w:rsid w:val="00C36A5F"/>
    <w:rsid w:val="00C40DC0"/>
    <w:rsid w:val="00C40E35"/>
    <w:rsid w:val="00C42174"/>
    <w:rsid w:val="00C4286B"/>
    <w:rsid w:val="00C430F9"/>
    <w:rsid w:val="00C43CDF"/>
    <w:rsid w:val="00C46908"/>
    <w:rsid w:val="00C46F9B"/>
    <w:rsid w:val="00C47F7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E7304"/>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456"/>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BAE"/>
    <w:rsid w:val="00DE7D8C"/>
    <w:rsid w:val="00DF0164"/>
    <w:rsid w:val="00DF02A5"/>
    <w:rsid w:val="00DF24BA"/>
    <w:rsid w:val="00DF2732"/>
    <w:rsid w:val="00DF3B88"/>
    <w:rsid w:val="00DF42E8"/>
    <w:rsid w:val="00DF60DB"/>
    <w:rsid w:val="00DF7CE0"/>
    <w:rsid w:val="00E008E9"/>
    <w:rsid w:val="00E00CEF"/>
    <w:rsid w:val="00E019DD"/>
    <w:rsid w:val="00E02877"/>
    <w:rsid w:val="00E03CD6"/>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2206"/>
    <w:rsid w:val="00E46555"/>
    <w:rsid w:val="00E47BC4"/>
    <w:rsid w:val="00E5071A"/>
    <w:rsid w:val="00E52EBD"/>
    <w:rsid w:val="00E55C02"/>
    <w:rsid w:val="00E568A6"/>
    <w:rsid w:val="00E569A4"/>
    <w:rsid w:val="00E57A08"/>
    <w:rsid w:val="00E62835"/>
    <w:rsid w:val="00E62E18"/>
    <w:rsid w:val="00E648F0"/>
    <w:rsid w:val="00E655A7"/>
    <w:rsid w:val="00E67287"/>
    <w:rsid w:val="00E67670"/>
    <w:rsid w:val="00E678FA"/>
    <w:rsid w:val="00E70506"/>
    <w:rsid w:val="00E708C1"/>
    <w:rsid w:val="00E722DC"/>
    <w:rsid w:val="00E72827"/>
    <w:rsid w:val="00E73933"/>
    <w:rsid w:val="00E758E2"/>
    <w:rsid w:val="00E77645"/>
    <w:rsid w:val="00E80B0B"/>
    <w:rsid w:val="00E8330F"/>
    <w:rsid w:val="00E838AA"/>
    <w:rsid w:val="00E86928"/>
    <w:rsid w:val="00E870CD"/>
    <w:rsid w:val="00E8740E"/>
    <w:rsid w:val="00E87CA7"/>
    <w:rsid w:val="00E95FD7"/>
    <w:rsid w:val="00E96E21"/>
    <w:rsid w:val="00EA22F8"/>
    <w:rsid w:val="00EA472F"/>
    <w:rsid w:val="00EA6955"/>
    <w:rsid w:val="00EB0BA3"/>
    <w:rsid w:val="00EB4384"/>
    <w:rsid w:val="00EB5D6D"/>
    <w:rsid w:val="00EB60BA"/>
    <w:rsid w:val="00EB7D70"/>
    <w:rsid w:val="00EC2119"/>
    <w:rsid w:val="00EC23FA"/>
    <w:rsid w:val="00EC263E"/>
    <w:rsid w:val="00EC3973"/>
    <w:rsid w:val="00EC4A25"/>
    <w:rsid w:val="00EC56CF"/>
    <w:rsid w:val="00EC70E5"/>
    <w:rsid w:val="00EC790F"/>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BE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4FE"/>
    <w:rsid w:val="00FB1945"/>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8E9"/>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18E"/>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semiHidden/>
    <w:unhideWhenUsed/>
    <w:rsid w:val="00CE7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1802262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RBI5PAMIO524-1616901215-52241</_dlc_DocId>
    <_dlc_DocIdUrl xmlns="71c5aaf6-e6ce-465b-b873-5148d2a4c105">
      <Url>https://nokia.sharepoint.com/sites/gxp/_layouts/15/DocIdRedir.aspx?ID=RBI5PAMIO524-1616901215-52241</Url>
      <Description>RBI5PAMIO524-1616901215-52241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5EEEFAD-74ED-43F4-BA7F-BDE2E9F88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23A5B6DB-AE8B-4CF4-B8D6-80B59CAD58F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possibility of requesting a non-registered slice</dc:title>
  <dc:subject>3GPP RAN3 #129</dc:subject>
  <dc:creator>Benoist Sébire</dc:creator>
  <cp:keywords>&lt;keyword[, keyword, ]&gt;</cp:keywords>
  <dc:description/>
  <cp:lastModifiedBy>Nokia</cp:lastModifiedBy>
  <cp:revision>4</cp:revision>
  <cp:lastPrinted>2019-03-27T07:16:00Z</cp:lastPrinted>
  <dcterms:created xsi:type="dcterms:W3CDTF">2025-08-14T12:25:00Z</dcterms:created>
  <dcterms:modified xsi:type="dcterms:W3CDTF">2025-08-14T12:27:00Z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c8512aa1-debf-4404-9b4b-9e71497483cc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